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E72" w:rsidRDefault="007A323F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4"/>
        </w:rPr>
        <w:t>OBRAZLOŽENJE IZVRŠENJA FINANCIJSKOG PLANA HŽ PUTNIČKOG PRIJEVOZA ZA  2025. GODINU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UVOD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2025. godini nastavljen je pozitivan trend rasta broja prevezenih putnika. Prevezeno je 1,8 milijuna putnika više, što predstavlja povećanje od 7,3 % u odnosu na 2024. godinu.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Nastavljena je provedba projekata besplatnoga željezničkog prijevoza učenika, redovnih studenata te umirovljenika i starijih od 65 godina. Projekti se provode sa svrhom poticanja i stvaranja navike korištenja javnoga željezničkog prijevoza, a djelomično predstavljaju i kompenzaciju tijekom intenzivnih radova na željezničkoj infrastrukturi. 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Nastavljena je i mjera besplatnog prijevoza stanovnika pogođenih potresom na području Sisačko-moslavačke županije i ukrajinskih državljana na svim relacijama unutar Republike Hrvatske.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2025. godini remonti pruga odvijali su se na značajnom dijelu pružne mreže, i to na relacijama DG Savski Marof – Zagreb GK, Zagreb GK – Dugo Selo – Križevci – Koprivnica – Botovo, Zagreb GK – Dugo Selo – Novska – Tovarnik DG, Rijeka – Šapjane DG, Karlovac – Kamanje DG, Hrvatski Leskovac –Karlovac, Generalski Stol – Gornje Dubrave, Zaprešić – Zabok – Varaždin – Kotoriba – Čakovec – DG, Sisak – Sisak Caprag – Volinja, Sunja – Novska, Banova Jaruga – Pčelić, Zagreb GK – Oštarije – Knin – Split i Koprivnica – Osijek – Dalj. Tijekom izvođenja radova na prugama vlakovi voze smanjenom brzinom ili se uvodi zamjenski autobusni prijevoz, što znatno narušava kvalitetu usluge i smanjuje potražnju za prijevozom.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RAČUN PRIHODA I RASHODA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PRIHODI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624"/>
        <w:gridCol w:w="1499"/>
        <w:gridCol w:w="1499"/>
        <w:gridCol w:w="1498"/>
        <w:gridCol w:w="937"/>
        <w:gridCol w:w="937"/>
      </w:tblGrid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2024.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140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6 PRIHODI POSLOVANJA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159.440.465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196.767.301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186.238.117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116,8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94,6</w:t>
            </w:r>
          </w:p>
        </w:tc>
      </w:tr>
      <w:tr w:rsidR="00AA2E72">
        <w:tc>
          <w:tcPr>
            <w:tcW w:w="14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7 PRIHODI OD PRODAJE NEFINANCIJSKE IMOVINE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68.468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162.000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160.862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234,9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99,3</w:t>
            </w:r>
          </w:p>
        </w:tc>
      </w:tr>
      <w:tr w:rsidR="00AA2E72">
        <w:tc>
          <w:tcPr>
            <w:tcW w:w="14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UKUPNI PRIHODI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159.508.933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196.929.301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186.398.979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116,9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94,7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Ukupni prihodi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u 2025. godini ostvareni su u iznosu od 186.398.979 EUR, što čini 94,7 % godišnjeg plana te predstavlja povećanje od 16,9 % u odnosu na 2024. godinu ponajprije zbog većeg povlačenja sredstava za nabavu </w:t>
      </w:r>
      <w:r>
        <w:rPr>
          <w:rFonts w:ascii="Times New Roman" w:hAnsi="Times New Roman" w:cs="Times New Roman"/>
          <w:sz w:val="24"/>
        </w:rPr>
        <w:t xml:space="preserve">novih vlakova </w:t>
      </w:r>
      <w:r>
        <w:rPr>
          <w:rFonts w:ascii="Times New Roman" w:hAnsi="Times New Roman" w:cs="Times New Roman"/>
          <w:color w:val="000000"/>
          <w:sz w:val="24"/>
        </w:rPr>
        <w:t>iz sredstava Europske investicijske banke (EIB),  Europskog društva za financiranje nabave željezničkih voznih sredstava (EUROFIMA) i Nacionalnog plana oporavka i otpornosti (NPOO).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U ukupnim prihodima poslovanja HŽPP-a najveći udio odnosi se na pomoći proračunu i izvanproračunskim ko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</w:rPr>
        <w:t>risnicima iz drugih proračuna, što uključuje i Ugovor o javnim uslugama od općeg gospodarskog interesa u javnom željezničkom prijevozu u Republici Hrvatskoj u iznosu od 119.000.000 EUR.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lastRenderedPageBreak/>
        <w:t>Pomoći temeljem prijenosa EU sredstava iznose 3.513.371 EUR.  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Pomoći od međunarodnih organizacija te institucija i tijela EU iznose 18.351 EUR, a odnose se na bespovratna sredstva iz EU fondova, kojima je sufinanciran projekt SUSTANCE u cilju poboljšanja povezanosti javnog prijevoza između slabo naseljenih ruralnih, perifernih i prekograničnih regija i urbanih područja radi povećanja održive mobilnosti putnika u Srednjoj Europi. 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 xml:space="preserve">Ostali prihodi sastoje se od prihoda od financijske imovine u </w:t>
      </w:r>
      <w:r>
        <w:rPr>
          <w:rFonts w:ascii="Times New Roman" w:hAnsi="Times New Roman" w:cs="Times New Roman"/>
          <w:sz w:val="24"/>
        </w:rPr>
        <w:t xml:space="preserve">iznosu od 364.200 EUR, prihoda od nefinancijske imovine u iznosu od 4.639.428 EUR (prihodi od zakupa vagona i lokomotiva, naknade šteta od osiguranja, naplaćena potraživanja na ispravku vrijednosti, naplaćeni prihodi po sudskim rješenjima) i prihoda od prodaje </w:t>
      </w:r>
      <w:r>
        <w:rPr>
          <w:rFonts w:ascii="Times New Roman" w:hAnsi="Times New Roman" w:cs="Times New Roman"/>
          <w:color w:val="000000"/>
          <w:sz w:val="24"/>
        </w:rPr>
        <w:t xml:space="preserve">proizvoda i robe te pruženih usluga, prihoda od donacija te povrata po protestiranim jamstvima u iznosu od 18.602.767 EUR (prihodi od prodaje karata u unutarnjem i međunarodnom prijevozu). 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Prihodi od prodaje nefinancijske imovine iznose 160.862 EUR.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RASHODI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624"/>
        <w:gridCol w:w="1499"/>
        <w:gridCol w:w="1499"/>
        <w:gridCol w:w="1498"/>
        <w:gridCol w:w="937"/>
        <w:gridCol w:w="937"/>
      </w:tblGrid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2024.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140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3 RASHODI POSLOVANJA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118.634.607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141.030.913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129.887.697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109,5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92,1</w:t>
            </w:r>
          </w:p>
        </w:tc>
      </w:tr>
      <w:tr w:rsidR="00AA2E72">
        <w:tc>
          <w:tcPr>
            <w:tcW w:w="14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4 RASHODI ZA NABAVU NEFINANCIJSKE IMOVINE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36.566.200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73.673.557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70.722.534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193,4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96,0</w:t>
            </w:r>
          </w:p>
        </w:tc>
      </w:tr>
      <w:tr w:rsidR="00AA2E72">
        <w:tc>
          <w:tcPr>
            <w:tcW w:w="14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UKUPNI RASHODI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155.200.807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214.704.470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200.610.232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129,3</w:t>
            </w:r>
          </w:p>
        </w:tc>
        <w:tc>
          <w:tcPr>
            <w:tcW w:w="5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93,4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Ukupni rashodi u 2025. godini ostvareni su u iznosu od 200.610.232 EUR i čine 93,4 % godišnjeg plana, što predstavlja povećanje od 29,3 % u odnosu na 2024. godinu zbog većih rashoda za zaposlene, materijalnih rashoda, rashoda za usluge i nabavu nefinancijske imovine, odnosno novih vlakova.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Rashodi poslovanja iznose 129.887.697 EUR i čine 92,1 % plana, što predstavlja povećanje od 9,5 % u odnosu na 2024. godinu. 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 za zaposlene ostvareni su u iznosu od 55.806.807 EUR, a čine ih bruto plaće u iznosu od 42.072.374 EUR, doprinosi za mirovinsko i zdravstveno osiguranje u iznosu od 8.508.394 EUR i ostali rashodi za zaposlene u iznosu od 5.226.039 EUR.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Materijalni rashodi ostvareni su u iznosu od 71.111.515 EUR i odnose se na naknade troškova zaposlenima u iznosu od 1.623.692 EUR, rashode za materijal i energiju u iznosu od 16.062.231 EUR, rashode za usluge u iznosu od 52.499.138 EUR, naknade troškova osobama izvan radnog odnosa u iznosu od 101.191 EUR i ostale nespomenute rashode poslovanja u iznosu od 825.262 EUR.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Ostvareni financijski rashodi iznose 1.969.196 EUR, a čine ih kamate za primljene kredite i zajmove u iznosu od 1.708.028 EUR i ostale financijske rashodi u iznosu od 261.168 EUR. 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 za donacije, kazne, naknade šteta i kapitalne pomoći ostvareni su u iznosu od 1.000.180 EUR, od čega se najveći dio odnosi na naknade šteta pravnim i fizičkim osobama.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Rashodi za nabavu nefinancijske imovine iznose 70.722.534 EUR te su za 34.156.334 EUR veći u odnosu na 2024. godinu zbog </w:t>
      </w:r>
      <w:r>
        <w:rPr>
          <w:rFonts w:ascii="Times New Roman" w:hAnsi="Times New Roman" w:cs="Times New Roman"/>
          <w:color w:val="000000"/>
          <w:sz w:val="24"/>
        </w:rPr>
        <w:t>većeg povlačenja sredstava za nabavu novih vlakova</w:t>
      </w:r>
      <w:r>
        <w:rPr>
          <w:rFonts w:ascii="Times New Roman" w:hAnsi="Times New Roman" w:cs="Times New Roman"/>
          <w:sz w:val="24"/>
        </w:rPr>
        <w:t>, a čine ih:</w:t>
      </w:r>
    </w:p>
    <w:p w:rsidR="00AA2E72" w:rsidRDefault="007A323F" w:rsidP="004F1821">
      <w:pPr>
        <w:pStyle w:val="Odlomakpopisa"/>
        <w:numPr>
          <w:ilvl w:val="0"/>
          <w:numId w:val="1"/>
        </w:numPr>
        <w:spacing w:line="240" w:lineRule="auto"/>
        <w:jc w:val="both"/>
      </w:pPr>
      <w:r w:rsidRPr="004F1821">
        <w:rPr>
          <w:rFonts w:ascii="Times New Roman" w:hAnsi="Times New Roman" w:cs="Times New Roman"/>
          <w:sz w:val="24"/>
        </w:rPr>
        <w:lastRenderedPageBreak/>
        <w:t>rashodi za nabavu proizvedene dugotrajne imovine u iznosu od 66.800.361 EUR, od čega se 46.745 EUR odnosi na prijevozna sredstva u cestovnom prometu, 65.893.987 EUR na prijevozna sredstva u željezničkom prometu i 859.629 EUR na ulaganja u računalne programe. U 2025. godini isporučeno je sedam dizelskih vlakova, jedan baterijski i jedan elektrobaterijski vlak te je isplaćen avans za daljnju nabavu 13 novih vlakova (četiri baterijska, četiri elektrobaterijska i pet elektrodizelskih vlakova).</w:t>
      </w:r>
    </w:p>
    <w:p w:rsidR="00AA2E72" w:rsidRDefault="007A323F" w:rsidP="004F1821">
      <w:pPr>
        <w:pStyle w:val="Odlomakpopisa"/>
        <w:numPr>
          <w:ilvl w:val="0"/>
          <w:numId w:val="1"/>
        </w:numPr>
        <w:spacing w:line="240" w:lineRule="auto"/>
        <w:jc w:val="both"/>
      </w:pPr>
      <w:r w:rsidRPr="004F1821">
        <w:rPr>
          <w:rFonts w:ascii="Times New Roman" w:hAnsi="Times New Roman" w:cs="Times New Roman"/>
          <w:sz w:val="24"/>
        </w:rPr>
        <w:t>rashodi za dodatna ulaganja na nefinancijskoj imovini u iznosu od 3.922.173 EUR, od čega se 2.359.302 EUR odnosi na ulaganja u prijevozna sredstva, 1.533.003 EUR na ulaganja u ostalu nefinancijsku imovinu i 29.869 EUR na dodatna ulaganja na građevinskim objektima.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RAČUN FINANCIRANJA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t>Račun prihoda i rashoda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497"/>
        <w:gridCol w:w="1799"/>
        <w:gridCol w:w="1799"/>
        <w:gridCol w:w="899"/>
      </w:tblGrid>
      <w:tr w:rsidR="00AA2E72">
        <w:tc>
          <w:tcPr>
            <w:tcW w:w="2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OSTVARENJE/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IZVRŠENJE 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2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4=3/2</w:t>
            </w:r>
          </w:p>
        </w:tc>
      </w:tr>
      <w:tr w:rsidR="00AA2E72">
        <w:tc>
          <w:tcPr>
            <w:tcW w:w="250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UKUPNI PRIHODI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196.929.301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186.398.979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94,7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UKUPNI RASHODI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214.704.470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200.610.232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93,4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RAZLIKA - VIŠAK/MANJAK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-17.775.169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-14.211.253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80,0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t>Račun financiranja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497"/>
        <w:gridCol w:w="1799"/>
        <w:gridCol w:w="1799"/>
        <w:gridCol w:w="899"/>
      </w:tblGrid>
      <w:tr w:rsidR="00AA2E72">
        <w:tc>
          <w:tcPr>
            <w:tcW w:w="2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BROJČANA OZNAKA I NAZIV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2025.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OSTVARENJE/</w:t>
            </w:r>
            <w:r>
              <w:rPr>
                <w:rFonts w:ascii="Times New Roman" w:hAnsi="Times New Roman" w:cs="Times New Roman"/>
                <w:b/>
                <w:sz w:val="18"/>
              </w:rPr>
              <w:br/>
              <w:t>IZVRŠENJE 2025.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2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10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4=3/2</w:t>
            </w:r>
          </w:p>
        </w:tc>
      </w:tr>
      <w:tr w:rsidR="00AA2E72">
        <w:tc>
          <w:tcPr>
            <w:tcW w:w="250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8 PRIMICI OD FINANCIJSKE IMOVINE I ZADUŽIVANJA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30.338.131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30.338.131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5 IZDACI ZA FINANCIJSKU IMOVINU I OTPLATE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7.012.000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7.009.492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  <w:tr w:rsidR="00AA2E72">
        <w:tc>
          <w:tcPr>
            <w:tcW w:w="98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RAZLIKA PRIMITAKA I IZDATAKA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23.326.131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23.328.639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100,0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PRIJENOS SREDSTAVA IZ PRETHODNE GODINE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949.329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5.961.154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627,9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PRIJENOS SREDSTAVA U SLJEDEĆU GODINU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-6.500.291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-15.078.540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232,0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NETO FINANCIRANJE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17.775.169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14.211.253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80,0</w:t>
            </w:r>
          </w:p>
        </w:tc>
      </w:tr>
      <w:tr w:rsidR="00AA2E72">
        <w:tc>
          <w:tcPr>
            <w:tcW w:w="2500" w:type="pct"/>
            <w:vAlign w:val="bottom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18"/>
              </w:rPr>
              <w:t>VIŠAK/MANJAK + NETO FINANCIRANJE</w:t>
            </w:r>
          </w:p>
        </w:tc>
        <w:tc>
          <w:tcPr>
            <w:tcW w:w="10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0</w:t>
            </w:r>
          </w:p>
        </w:tc>
        <w:tc>
          <w:tcPr>
            <w:tcW w:w="80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b/>
                <w:sz w:val="18"/>
              </w:rPr>
              <w:t>0</w:t>
            </w:r>
          </w:p>
        </w:tc>
        <w:tc>
          <w:tcPr>
            <w:tcW w:w="800" w:type="pct"/>
            <w:vAlign w:val="bottom"/>
          </w:tcPr>
          <w:p w:rsidR="00AA2E72" w:rsidRDefault="00AA2E72">
            <w:pPr>
              <w:spacing w:after="0" w:line="240" w:lineRule="auto"/>
              <w:jc w:val="right"/>
            </w:pP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Ostvareni prihodi i rashodi rezultirali su manjkom od 14.211.253 EUR. 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Primici od financijske imovine i zaduživanja sastoje se od primitaka od zaduživanja u iznosu od 27.170.016 EUR te uplate razlike za namiru HŽPP-u po sklopljenoj Nagodbi o</w:t>
      </w:r>
      <w:r>
        <w:rPr>
          <w:rFonts w:ascii="Times New Roman" w:hAnsi="Times New Roman" w:cs="Times New Roman"/>
          <w:color w:val="000000"/>
          <w:sz w:val="24"/>
        </w:rPr>
        <w:t xml:space="preserve"> uređenju imovinsko-pravnih pitanja preostalih nakon podjele HŽ Hrvatskih Željeznica d.o.o. između Republike Hrvatske i društva HŽ Putnički prijevoz</w:t>
      </w:r>
      <w:r>
        <w:rPr>
          <w:rFonts w:ascii="Times New Roman" w:hAnsi="Times New Roman" w:cs="Times New Roman"/>
          <w:sz w:val="24"/>
        </w:rPr>
        <w:t xml:space="preserve"> u iznosu od 3.168.115 EUR. 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Izdaci za otplatu glavnice primljenih kredita i zajmova (IBRD-a i HBOR-a) iznose 7.009.492 EUR. 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Stanje novčanih sredstava na početku izvještajnog razdoblja iznosi 5.961.154 EUR, a na kraju izvještajnog razdoblja 15.078.540 EUR.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PRIJENOS SREDSTAVA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Prijenos sredstava iz prethodne godine iznosi 5.961.154 EUR, a 15.078.540 EUR odnosi se na prijenos sredstava u sljedeću godinu. Iznos od 15.078.540 EUR su vlastita sredstva, koja </w:t>
      </w:r>
      <w:r>
        <w:rPr>
          <w:rFonts w:ascii="Times New Roman" w:hAnsi="Times New Roman" w:cs="Times New Roman"/>
          <w:sz w:val="24"/>
        </w:rPr>
        <w:lastRenderedPageBreak/>
        <w:t>uključuju 5.470.016 EUR iz zajma EUROFIMA-e za isplatu avansa za obnovu električnih lokomotiva i radionica za održavanje u 2026. godini. Sredstva su potrebna za održavanje likvidnosti, odnosno za pokriće obveza početkom godine.  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POSEBNI DIO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 xml:space="preserve">9000 ADMINISTRATIVNO UPRAVLJANJE I OPREMANJE 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9000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116.371.715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138.830.913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128.179.669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110,1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92,3</w:t>
            </w:r>
          </w:p>
        </w:tc>
      </w:tr>
    </w:tbl>
    <w:p w:rsidR="00AA2E72" w:rsidRPr="00765A7B" w:rsidRDefault="00AA2E72">
      <w:pPr>
        <w:spacing w:after="0" w:line="240" w:lineRule="auto"/>
        <w:rPr>
          <w:sz w:val="14"/>
        </w:rPr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Ojačati učinkovitost poslovanja HŽ Putničkog prijevoza kroz povećanje produktivnosti, optimizaciju rashoda poslovanja, te ulaganjima u opremanje, informatizaciju i poslovne zgrade.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Kontinuiranim ulaganjima nastoji se povećati konkurentnost i učinkovitost HŽPP-a kroz povećanje poslovnih prihoda i racionalizaciju troškova. Realizacijom investicija i kontinuiranom edukacijom radnika u 2025. godini ostvarena je ciljana vrijednost pokazatelja, odnosno povećana je efikasnost rada.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Smanjenje vremena obrade dokumenta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Kroz obuku djelatnika za korištenje novog sustava očekuje se postići smanjenje vremena potrebnog za obradu dokumenata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sati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1,5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1,5</w:t>
            </w:r>
          </w:p>
        </w:tc>
      </w:tr>
    </w:tbl>
    <w:p w:rsidR="00A01FFB" w:rsidRPr="00A01FFB" w:rsidRDefault="00A01FFB">
      <w:pPr>
        <w:spacing w:line="240" w:lineRule="auto"/>
        <w:rPr>
          <w:rFonts w:ascii="Times New Roman" w:hAnsi="Times New Roman" w:cs="Times New Roman"/>
          <w:b/>
          <w:sz w:val="2"/>
          <w:u w:val="single"/>
        </w:rPr>
      </w:pPr>
    </w:p>
    <w:p w:rsidR="00A01FFB" w:rsidRDefault="00A01FFB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t xml:space="preserve">A900000 ADMINISTRACIJA I UPRAVLJANJE  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A900000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116.371.715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138.830.913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128.179.669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110,1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92,3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sklopu ove aktivnosti planirani su rashodi za obavljanje osnovne djelatnosti koji obuhvaćaju rashode za zaposlene, materijalne rashode, financijske rashode i ostale rashode. U 2025. godini rashodi za administraciju i upravljanje iznose 128.179.669 EUR, od čega se 43,54 % odnosi na rashode za zaposlene, 55,48 % na materijalne rashode, 0,20 % na financijske rashode i 0,78 % na ostale rashode. 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lastRenderedPageBreak/>
        <w:t>Unutar skupine materijalni rashodi najznačajniji udio odnosi se na usluge održavanja, ponajprije održavanja opreme i prijevoznih sredstava. Aktivnost se financira iz vlastitih sredstava.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9001 SERVISIRANJE UNUTARNJEG DUGA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9001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9.272.386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9.212.000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8.717.520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94,6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 xml:space="preserve">Pravovremena otplata dospijeća obveza po zaduživanju 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2025. godini sve obveze po zaduženjima su pravovremeno izmirene.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Održivost duga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Uredno servisiranje obveza po zaduživanju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A900001 ZAJMOVI OD TUZEMNIH BANAKA I OSTALIH FINANCIJSKIH INSTITUCIJA U JAVNOM SEKTORU I IZVAN JAVNOG SEKTORA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A900001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9.272.386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9.212.000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8.717.520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94,6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Rashodi i izdaci odnose se na kamate i otplatu glavnica primljenih kredita i zajmova Hrvatske banke za obnovu i razvoj (HBOR), Međunarodne banke za obnovu i razvoj (IBRD) i EUROFIMA-e za nabavu novih vlakova, investicije u postojeći vozni park, informatizaciju sustava te otpremnine i studije.</w:t>
      </w:r>
    </w:p>
    <w:p w:rsidR="008855E6" w:rsidRPr="00DA3B18" w:rsidRDefault="008855E6">
      <w:pPr>
        <w:spacing w:line="240" w:lineRule="auto"/>
        <w:rPr>
          <w:rFonts w:ascii="Times New Roman" w:hAnsi="Times New Roman" w:cs="Times New Roman"/>
          <w:b/>
          <w:sz w:val="10"/>
          <w:u w:val="single"/>
        </w:rPr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996"/>
        <w:gridCol w:w="1250"/>
        <w:gridCol w:w="1149"/>
        <w:gridCol w:w="1149"/>
        <w:gridCol w:w="1150"/>
        <w:gridCol w:w="1150"/>
        <w:gridCol w:w="1150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Izvršenje obveza prema ugovornim rokovima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Pravovremeno izvršenje ugovornih obveza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%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9002 PROGRAM ULAGANJA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9002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36.566.200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73.673.557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70.722.534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193,4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96,0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U 2025. godini isporučeno je devet novih vlakova te je na kraju 2025. godine u prometu bilo 70 niskopodnih vlakova.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</w:rPr>
        <w:t xml:space="preserve">Cilj: </w:t>
      </w:r>
      <w:r>
        <w:rPr>
          <w:rFonts w:ascii="Times New Roman" w:hAnsi="Times New Roman" w:cs="Times New Roman"/>
          <w:sz w:val="24"/>
          <w:u w:val="single"/>
        </w:rPr>
        <w:t>Povećati kvalitetu prijevozne usluge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Opis provedbe cilja programa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Nabavom novih vlakova ostvaruje se važan iskorak u povećanju sigurnosti i postizanju konkurentnosti na prijevoznom tržištu, što uz ostale investicije znatno pridonosi ostvarenju utvrđenih strateških ciljeva. 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</w:rPr>
        <w:t>Kontinuiranim povećanjem broja prevezenih putnika povećan je i broj reklamacija u odnosu na planirani pokazatelj, ponajprije na temelju zahtjeva za povratom sredstava za neisporučene e-karte i odustajanjem od putovanja na zahtjev putnika. Do neisporučivanja e-karata dolazilo je zbog učestalih tehničkih problema s mrežnom stranicom preko koje se prodaju karte (prekid internetske veze, nedostupnost stranice i sl.). U cilju poboljšanja prodajnog sustava </w:t>
      </w:r>
      <w:r>
        <w:rPr>
          <w:rFonts w:ascii="Times New Roman" w:hAnsi="Times New Roman" w:cs="Times New Roman"/>
          <w:sz w:val="24"/>
        </w:rPr>
        <w:t>provodi se nadogradnja. </w:t>
      </w:r>
      <w:r>
        <w:rPr>
          <w:rFonts w:ascii="Times New Roman" w:hAnsi="Times New Roman" w:cs="Times New Roman"/>
          <w:color w:val="000000"/>
          <w:sz w:val="24"/>
        </w:rPr>
        <w:t>Također, povećanje reklamacija je uzrokovano kašnjenjima u prometu, zbog </w:t>
      </w:r>
      <w:r>
        <w:rPr>
          <w:rFonts w:ascii="Times New Roman" w:hAnsi="Times New Roman" w:cs="Times New Roman"/>
          <w:sz w:val="24"/>
        </w:rPr>
        <w:t>kojih je prvenstveno dolazilo zbog izvođenja radova na prugama i uvođenja zamjenskog autobusnog prijevoza. 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učinka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učinka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Smanjenje broja reklamacija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Kvalitetnija prijevozna usluga rezultirat će smanjenjem broja reklamacija korisnika prijevoza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reklamacija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7500,0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6000,0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8956,0</w:t>
            </w:r>
          </w:p>
        </w:tc>
      </w:tr>
    </w:tbl>
    <w:p w:rsidR="00AA2E72" w:rsidRPr="00DA3B18" w:rsidRDefault="00AA2E72">
      <w:pPr>
        <w:spacing w:after="0" w:line="240" w:lineRule="auto"/>
        <w:rPr>
          <w:sz w:val="14"/>
        </w:rPr>
      </w:pPr>
    </w:p>
    <w:p w:rsidR="009D1875" w:rsidRDefault="009D1875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t>K900000  NABAVA NOVIH PRIJEVOZNIH SREDSTAVA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K900000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32.490.960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68.660.023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65.940.732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203,0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96,0</w:t>
            </w:r>
          </w:p>
        </w:tc>
      </w:tr>
    </w:tbl>
    <w:p w:rsidR="00AA2E72" w:rsidRPr="008F6A2F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2025. godini ulaganja u nabavu novih prijevoznih sredstava iznose 65.940.732 EUR te su za 33.449.772 EUR veća u odnosu na 2024. godinu. U</w:t>
      </w:r>
      <w:r>
        <w:rPr>
          <w:rFonts w:ascii="Times New Roman" w:hAnsi="Times New Roman" w:cs="Times New Roman"/>
          <w:color w:val="000000"/>
          <w:sz w:val="24"/>
        </w:rPr>
        <w:t xml:space="preserve"> 2025. godini isporučeno je sedam dizelskih, jedan baterijski i jedan elektrobaterijski vlak, kao i isplaćen avans za nabavu četiri baterijska, četiri elektrobaterijska i pet elektrodizelskih vlakova. 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putnika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Pružanje kvalitetne usluge dovest će do povećanja broja putnika u odnosu na ostale oblike prijevoza na području RH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putnika u tisućama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20500,0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24009,0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26403,0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novih vlakova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Zamjena voznog parka prosječne starosti preko 40 godina novim motornim vlakovima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vlakova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57,0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70,0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K900001 INVESTICIJE U PRIJEVOZNE KAPACITETE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K900001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2.351.945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429.000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2.359.302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100,3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550,0</w:t>
            </w:r>
          </w:p>
        </w:tc>
      </w:tr>
    </w:tbl>
    <w:p w:rsidR="00AA2E72" w:rsidRPr="008F6A2F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U 2025. godini ulaganja u postojeći vozni park iznose 2.359.302 EUR. Sredstva se usklađuju s dinamičkim potrebama za održavanjem voznog parka. 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10"/>
        <w:gridCol w:w="1164"/>
        <w:gridCol w:w="1164"/>
        <w:gridCol w:w="1164"/>
        <w:gridCol w:w="1164"/>
        <w:gridCol w:w="1164"/>
        <w:gridCol w:w="1164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kvarova voznog parka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Smanjenje broja kvarova voznog parka dovest će do podizanja razine pouzdanosti voznog parka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kvarova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515,0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430,0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329,0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u w:val="single"/>
        </w:rPr>
        <w:br/>
        <w:t>K900002 INVESTICIJE ZA INFORMATIZACIJU SUSTAVA I GRAĐEVINSKE OBJEKTE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19"/>
        <w:gridCol w:w="1439"/>
        <w:gridCol w:w="1439"/>
        <w:gridCol w:w="1439"/>
        <w:gridCol w:w="1241"/>
        <w:gridCol w:w="917"/>
      </w:tblGrid>
      <w:tr w:rsidR="00AA2E72">
        <w:tc>
          <w:tcPr>
            <w:tcW w:w="980" w:type="pct"/>
            <w:shd w:val="clear" w:color="auto" w:fill="BCDFFB"/>
            <w:vAlign w:val="center"/>
          </w:tcPr>
          <w:p w:rsidR="00AA2E72" w:rsidRDefault="00AA2E72">
            <w:pPr>
              <w:spacing w:after="0" w:line="240" w:lineRule="auto"/>
              <w:jc w:val="center"/>
            </w:pP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2024.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Plan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Izvršenje 2025.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  <w:tc>
          <w:tcPr>
            <w:tcW w:w="69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Indeks</w:t>
            </w:r>
          </w:p>
        </w:tc>
      </w:tr>
      <w:tr w:rsidR="00AA2E72">
        <w:tc>
          <w:tcPr>
            <w:tcW w:w="14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8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5=4/2</w:t>
            </w:r>
          </w:p>
        </w:tc>
        <w:tc>
          <w:tcPr>
            <w:tcW w:w="50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4"/>
              </w:rPr>
              <w:t>6=4/3</w:t>
            </w:r>
          </w:p>
        </w:tc>
      </w:tr>
      <w:tr w:rsidR="00AA2E72">
        <w:tc>
          <w:tcPr>
            <w:tcW w:w="980" w:type="pct"/>
            <w:vAlign w:val="center"/>
          </w:tcPr>
          <w:p w:rsidR="00AA2E72" w:rsidRDefault="007A323F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18"/>
              </w:rPr>
              <w:t>K900002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1.723.295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4.584.534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2.422.500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140,6</w:t>
            </w:r>
          </w:p>
        </w:tc>
        <w:tc>
          <w:tcPr>
            <w:tcW w:w="690" w:type="pct"/>
            <w:vAlign w:val="bottom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52,8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 U 2025. godini ulaganja u informatizaciju sustava iznose 859.629 EUR, ulaganja u ostalu nefinancijsku imovinu 1.533.003 EUR te ulaganja u građevinske objekte 29.869 EUR.</w:t>
      </w:r>
    </w:p>
    <w:p w:rsidR="00AA2E72" w:rsidRDefault="007A323F">
      <w:pPr>
        <w:spacing w:line="24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Pokazatelji rezultata</w:t>
      </w:r>
    </w:p>
    <w:tbl>
      <w:tblPr>
        <w:tblW w:w="4850" w:type="pct"/>
        <w:tblInd w:w="10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998"/>
        <w:gridCol w:w="1240"/>
        <w:gridCol w:w="1151"/>
        <w:gridCol w:w="1151"/>
        <w:gridCol w:w="1151"/>
        <w:gridCol w:w="1151"/>
        <w:gridCol w:w="1152"/>
      </w:tblGrid>
      <w:tr w:rsidR="00AA2E72">
        <w:tc>
          <w:tcPr>
            <w:tcW w:w="9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Pokazatelj rezultata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Definicija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Jedinica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Polazna vrijednost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Izvor podataka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Ciljana vrijednost (2025.)</w:t>
            </w:r>
          </w:p>
        </w:tc>
        <w:tc>
          <w:tcPr>
            <w:tcW w:w="550" w:type="pct"/>
            <w:shd w:val="clear" w:color="auto" w:fill="BCDFFB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18"/>
              </w:rPr>
              <w:t>Ostvarena vrijednost (2025.)</w:t>
            </w:r>
          </w:p>
        </w:tc>
      </w:tr>
      <w:tr w:rsidR="00AA2E72">
        <w:tc>
          <w:tcPr>
            <w:tcW w:w="9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vozila sa ugrađenim GPS sustavom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Modernizacija vlakova uvođenjem GPS sustava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Broj vozila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77,0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</w:rPr>
              <w:t>HŽPP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123,0</w:t>
            </w:r>
          </w:p>
        </w:tc>
        <w:tc>
          <w:tcPr>
            <w:tcW w:w="550" w:type="pct"/>
            <w:vAlign w:val="center"/>
          </w:tcPr>
          <w:p w:rsidR="00AA2E72" w:rsidRDefault="007A323F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18"/>
              </w:rPr>
              <w:t>149,0</w:t>
            </w:r>
          </w:p>
        </w:tc>
      </w:tr>
    </w:tbl>
    <w:p w:rsidR="00AA2E72" w:rsidRDefault="00AA2E72">
      <w:pPr>
        <w:spacing w:after="0" w:line="240" w:lineRule="auto"/>
      </w:pPr>
    </w:p>
    <w:p w:rsidR="00AA2E72" w:rsidRDefault="007A323F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4"/>
          <w:u w:val="single"/>
        </w:rPr>
        <w:br/>
        <w:t>POSEBNI IZVJEŠTAJI HŽ PUTNIČKOG PRIJEVOZA</w:t>
      </w:r>
    </w:p>
    <w:p w:rsidR="00AA2E72" w:rsidRPr="00DA3B18" w:rsidRDefault="007A323F" w:rsidP="00DA3B18">
      <w:pPr>
        <w:spacing w:line="360" w:lineRule="auto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/>
        <w:t>IZVJEŠTAJ O ZADUŽIVANJU NA DOMAĆEM I STRANOM TRŽIŠTU NOVCA I KAPITALA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740842" cy="386289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4042" cy="3898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IZVJEŠTAJ O KORIŠTENJU SREDSTAVA FONDOVA EUROPSKE UNIJE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 xml:space="preserve">Pomoći temeljem prijenosa EU sredstava u 2025. godini iznose 3.513.371 EUR. Za projekt </w:t>
      </w:r>
      <w:r>
        <w:rPr>
          <w:rFonts w:ascii="Times New Roman" w:hAnsi="Times New Roman" w:cs="Times New Roman"/>
          <w:i/>
          <w:sz w:val="24"/>
        </w:rPr>
        <w:t>Primjena zelenih tehnologija u željezničkom putničkom prijevozu</w:t>
      </w:r>
      <w:r>
        <w:rPr>
          <w:rFonts w:ascii="Times New Roman" w:hAnsi="Times New Roman" w:cs="Times New Roman"/>
          <w:sz w:val="24"/>
        </w:rPr>
        <w:t xml:space="preserve"> u 2025. godini iz sredstava NPOO-a isplaćeno je 2.986.289 EUR za nabavu elektrobaterijskog vlaka, a u sklopu projekta </w:t>
      </w:r>
      <w:r>
        <w:rPr>
          <w:rFonts w:ascii="Times New Roman" w:hAnsi="Times New Roman" w:cs="Times New Roman"/>
          <w:i/>
          <w:sz w:val="24"/>
        </w:rPr>
        <w:t>Modernizacija informatičkog i prodajnog sustava</w:t>
      </w:r>
      <w:r>
        <w:rPr>
          <w:rFonts w:ascii="Times New Roman" w:hAnsi="Times New Roman" w:cs="Times New Roman"/>
          <w:sz w:val="24"/>
        </w:rPr>
        <w:t xml:space="preserve"> iz sredstava NPOO-a sufinancirani su informatički projekti u iznosu od 527.082 EUR.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br/>
        <w:t>IZVJEŠTAJ O DANIM ZAJMOVIMA I POTRAŽIVANJIMA PO DANIM ZAJMOVIMA</w:t>
      </w:r>
    </w:p>
    <w:p w:rsidR="000B6F38" w:rsidRDefault="007A323F" w:rsidP="000B6F38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HŽ Putnički prijevoz nije davao zajmove i nije imao potraživanja po danim zajmovima.</w:t>
      </w:r>
    </w:p>
    <w:p w:rsidR="00AA2E72" w:rsidRDefault="007A323F" w:rsidP="000B6F38">
      <w:pPr>
        <w:spacing w:line="240" w:lineRule="auto"/>
        <w:jc w:val="both"/>
      </w:pPr>
      <w:r>
        <w:rPr>
          <w:rFonts w:ascii="Times New Roman" w:hAnsi="Times New Roman" w:cs="Times New Roman"/>
          <w:b/>
          <w:sz w:val="24"/>
          <w:u w:val="single"/>
        </w:rPr>
        <w:t>IZVJEŠTAJ O STANJU POTRAŽIVANJA I DOSPJELIH OBVEZA TE O STANJU POTENCIJALNIH OBVEZA PO OSNOVI SUDSKIH SPOROVA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Stanje ukupnih nenaplaćenih potraživanja za prihode poslovanja iznosi 9.642.233 EUR, a stanje dospjelih nepodmirenih obveza 37.351 EUR. Stanje potencijalnih obveza po osnovi sudskih sporova iznosi 1.446.493 EUR.</w:t>
      </w:r>
    </w:p>
    <w:p w:rsidR="00AA2E72" w:rsidRDefault="007A323F">
      <w:pPr>
        <w:spacing w:line="360" w:lineRule="auto"/>
      </w:pPr>
      <w:r>
        <w:rPr>
          <w:rFonts w:ascii="Times New Roman" w:hAnsi="Times New Roman" w:cs="Times New Roman"/>
          <w:b/>
          <w:sz w:val="24"/>
          <w:u w:val="single"/>
        </w:rPr>
        <w:t>IZVJEŠTAJ O DANIM JAMSTVIMA I PLAĆANJIMA PO PROTESTIRANIM JAMSTVIMA</w:t>
      </w:r>
    </w:p>
    <w:p w:rsidR="00AA2E72" w:rsidRDefault="007A323F">
      <w:pPr>
        <w:spacing w:line="240" w:lineRule="auto"/>
        <w:jc w:val="both"/>
      </w:pPr>
      <w:r>
        <w:rPr>
          <w:rFonts w:ascii="Times New Roman" w:hAnsi="Times New Roman" w:cs="Times New Roman"/>
          <w:sz w:val="24"/>
        </w:rPr>
        <w:t>HŽPP nije davao jamstva niti je imao plaćanja po protestiranim jamstvima.</w:t>
      </w:r>
    </w:p>
    <w:sectPr w:rsidR="00AA2E72" w:rsidSect="00551D70">
      <w:footerReference w:type="default" r:id="rId8"/>
      <w:pgSz w:w="11906" w:h="16838" w:code="9"/>
      <w:pgMar w:top="1417" w:right="1417" w:bottom="1417" w:left="1417" w:header="720" w:footer="720" w:gutter="0"/>
      <w:pgNumType w:start="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CC2" w:rsidRDefault="00A56CC2" w:rsidP="00551D70">
      <w:pPr>
        <w:spacing w:after="0" w:line="240" w:lineRule="auto"/>
      </w:pPr>
      <w:r>
        <w:separator/>
      </w:r>
    </w:p>
  </w:endnote>
  <w:endnote w:type="continuationSeparator" w:id="0">
    <w:p w:rsidR="00A56CC2" w:rsidRDefault="00A56CC2" w:rsidP="00551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870835"/>
      <w:docPartObj>
        <w:docPartGallery w:val="Page Numbers (Bottom of Page)"/>
        <w:docPartUnique/>
      </w:docPartObj>
    </w:sdtPr>
    <w:sdtEndPr/>
    <w:sdtContent>
      <w:p w:rsidR="00551D70" w:rsidRDefault="00551D70">
        <w:pPr>
          <w:pStyle w:val="Podnoje"/>
          <w:jc w:val="center"/>
        </w:pPr>
        <w:r w:rsidRPr="00871D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1D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1D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1D76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71D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51D70" w:rsidRDefault="00551D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CC2" w:rsidRDefault="00A56CC2" w:rsidP="00551D70">
      <w:pPr>
        <w:spacing w:after="0" w:line="240" w:lineRule="auto"/>
      </w:pPr>
      <w:r>
        <w:separator/>
      </w:r>
    </w:p>
  </w:footnote>
  <w:footnote w:type="continuationSeparator" w:id="0">
    <w:p w:rsidR="00A56CC2" w:rsidRDefault="00A56CC2" w:rsidP="00551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3480B"/>
    <w:multiLevelType w:val="hybridMultilevel"/>
    <w:tmpl w:val="ACF26BC4"/>
    <w:lvl w:ilvl="0" w:tplc="AD38BB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51B59"/>
    <w:multiLevelType w:val="hybridMultilevel"/>
    <w:tmpl w:val="988EEAFA"/>
    <w:lvl w:ilvl="0" w:tplc="7BA4AD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2E72"/>
    <w:rsid w:val="000B6F38"/>
    <w:rsid w:val="00175FEC"/>
    <w:rsid w:val="001C7FD9"/>
    <w:rsid w:val="00474766"/>
    <w:rsid w:val="00484EA0"/>
    <w:rsid w:val="004F1821"/>
    <w:rsid w:val="004F43FE"/>
    <w:rsid w:val="004F770F"/>
    <w:rsid w:val="00551D70"/>
    <w:rsid w:val="00765A7B"/>
    <w:rsid w:val="007A323F"/>
    <w:rsid w:val="00871D76"/>
    <w:rsid w:val="008855E6"/>
    <w:rsid w:val="008F6A2F"/>
    <w:rsid w:val="0099662E"/>
    <w:rsid w:val="009D1875"/>
    <w:rsid w:val="00A01FFB"/>
    <w:rsid w:val="00A41BC6"/>
    <w:rsid w:val="00A56CC2"/>
    <w:rsid w:val="00AA2E72"/>
    <w:rsid w:val="00DA3B18"/>
    <w:rsid w:val="00EA32CB"/>
    <w:rsid w:val="00F2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120EC-73C0-4719-98A8-DEB623A9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51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51D70"/>
  </w:style>
  <w:style w:type="paragraph" w:styleId="Podnoje">
    <w:name w:val="footer"/>
    <w:basedOn w:val="Normal"/>
    <w:link w:val="PodnojeChar"/>
    <w:uiPriority w:val="99"/>
    <w:unhideWhenUsed/>
    <w:rsid w:val="00551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51D70"/>
  </w:style>
  <w:style w:type="paragraph" w:styleId="Odlomakpopisa">
    <w:name w:val="List Paragraph"/>
    <w:basedOn w:val="Normal"/>
    <w:uiPriority w:val="34"/>
    <w:qFormat/>
    <w:rsid w:val="004F18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1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1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2423</Words>
  <Characters>13814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Viktorija Franjić</cp:lastModifiedBy>
  <cp:revision>22</cp:revision>
  <cp:lastPrinted>2026-04-30T09:45:00Z</cp:lastPrinted>
  <dcterms:created xsi:type="dcterms:W3CDTF">2026-04-03T08:39:00Z</dcterms:created>
  <dcterms:modified xsi:type="dcterms:W3CDTF">2026-04-30T09:45:00Z</dcterms:modified>
</cp:coreProperties>
</file>